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0" w:name="_heading=h.gjdgxs" w:colFirst="0" w:colLast="0"/>
      <w:bookmarkEnd w:id="0"/>
      <w:bookmarkStart w:id="21" w:name="_GoBack"/>
      <w:bookmarkEnd w:id="21"/>
      <w:r>
        <w:rPr>
          <w:rFonts w:ascii="Arial" w:hAnsi="Arial" w:eastAsia="Arial" w:cs="Arial"/>
          <w:b/>
          <w:u w:val="single"/>
          <w:rtl w:val="0"/>
        </w:rPr>
        <w:t>Procedimientos Operativos Estándares (POES) 6 VERSIÓN</w:t>
      </w:r>
      <w:r>
        <w:rPr>
          <w:rFonts w:ascii="Arial" w:hAnsi="Arial" w:eastAsia="Arial" w:cs="Arial"/>
          <w:b/>
          <w:i/>
          <w:u w:val="single"/>
          <w:rtl w:val="0"/>
        </w:rPr>
        <w:t xml:space="preserve"> 1.0 (21-OCTUBRE-2020)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1" w:name="_heading=h.ntxbo7e4685s" w:colFirst="0" w:colLast="0"/>
      <w:bookmarkEnd w:id="1"/>
      <w:r>
        <w:rPr>
          <w:rFonts w:ascii="Arial" w:hAnsi="Arial" w:eastAsia="Arial" w:cs="Arial"/>
          <w:b/>
          <w:u w:val="single"/>
          <w:rtl w:val="0"/>
        </w:rPr>
        <w:t>Devolución de una asesoría estadística por parte de la UNISAR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2" w:name="_heading=h.vyt5xy7u2hsi" w:colFirst="0" w:colLast="0"/>
      <w:bookmarkEnd w:id="2"/>
      <w:r>
        <w:rPr>
          <w:rFonts w:ascii="Arial" w:hAnsi="Arial" w:eastAsia="Arial" w:cs="Arial"/>
          <w:b/>
          <w:u w:val="single"/>
          <w:rtl w:val="0"/>
        </w:rPr>
        <w:t>UNIDAD DE INVESTIGACIÓN DE LA SOCIEDAD ARGENTINA DE INVESTIGACIÓN (UNISAR)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3" w:name="_heading=h.co70539mf5m3" w:colFirst="0" w:colLast="0"/>
      <w:bookmarkEnd w:id="3"/>
      <w:r>
        <w:rPr>
          <w:rFonts w:ascii="Arial" w:hAnsi="Arial" w:eastAsia="Arial" w:cs="Arial"/>
          <w:b/>
          <w:u w:val="single"/>
          <w:rtl w:val="0"/>
        </w:rPr>
        <w:t xml:space="preserve">OBJETIVO: </w:t>
      </w:r>
      <w:r>
        <w:rPr>
          <w:rFonts w:ascii="Arial" w:hAnsi="Arial" w:eastAsia="Arial" w:cs="Arial"/>
          <w:b/>
          <w:rtl w:val="0"/>
        </w:rPr>
        <w:t>Estandarizar el formato de devolución de una asesoría por parte de la UNISAR.</w:t>
      </w:r>
    </w:p>
    <w:p>
      <w:pPr>
        <w:spacing w:line="360" w:lineRule="auto"/>
        <w:jc w:val="both"/>
        <w:rPr>
          <w:rFonts w:ascii="Arial" w:hAnsi="Arial" w:eastAsia="Arial" w:cs="Arial"/>
          <w:u w:val="none"/>
        </w:rPr>
      </w:pPr>
      <w:bookmarkStart w:id="4" w:name="_heading=h.hw2o0qbcsae8" w:colFirst="0" w:colLast="0"/>
      <w:bookmarkEnd w:id="4"/>
      <w:r>
        <w:rPr>
          <w:rFonts w:ascii="Arial" w:hAnsi="Arial" w:eastAsia="Arial" w:cs="Arial"/>
          <w:b/>
          <w:u w:val="single"/>
          <w:rtl w:val="0"/>
        </w:rPr>
        <w:t>ALCANCE: T</w:t>
      </w:r>
      <w:r>
        <w:rPr>
          <w:rFonts w:ascii="Arial" w:hAnsi="Arial" w:eastAsia="Arial" w:cs="Arial"/>
          <w:b/>
          <w:rtl w:val="0"/>
        </w:rPr>
        <w:t xml:space="preserve">odos los integrantes de la UNISAR que participan en las asesorías. </w:t>
      </w:r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5" w:name="_heading=h.3rnigw5pc17b" w:colFirst="0" w:colLast="0"/>
      <w:bookmarkEnd w:id="5"/>
      <w:r>
        <w:rPr>
          <w:rFonts w:ascii="Arial" w:hAnsi="Arial" w:eastAsia="Arial" w:cs="Arial"/>
          <w:b/>
          <w:rtl w:val="0"/>
        </w:rPr>
        <w:t>Cada integrante de la UNISAR responsable de la asesoría deberá: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6" w:name="_heading=h.p8cva66ybrf1" w:colFirst="0" w:colLast="0"/>
      <w:bookmarkEnd w:id="6"/>
      <w:r>
        <w:rPr>
          <w:rFonts w:ascii="Arial" w:hAnsi="Arial" w:eastAsia="Arial" w:cs="Arial"/>
          <w:rtl w:val="0"/>
        </w:rPr>
        <w:t>Mantener una comunicación fluida con los autores del proyecto asesorado, de ser necesario se pautaran reuniones virtuales para mejorar la dinámica del intercambio.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7" w:name="_heading=h.8rqlod6bqg3z" w:colFirst="0" w:colLast="0"/>
      <w:bookmarkEnd w:id="7"/>
      <w:r>
        <w:rPr>
          <w:rFonts w:ascii="Arial" w:hAnsi="Arial" w:eastAsia="Arial" w:cs="Arial"/>
          <w:rtl w:val="0"/>
        </w:rPr>
        <w:t>El tiempo estipulado en responder por canales formales de comunicación (mail institucional) será de 15 días.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8" w:name="_heading=h.yuhxwuxvs5jp" w:colFirst="0" w:colLast="0"/>
      <w:bookmarkEnd w:id="8"/>
      <w:r>
        <w:rPr>
          <w:rFonts w:ascii="Arial" w:hAnsi="Arial" w:eastAsia="Arial" w:cs="Arial"/>
          <w:rtl w:val="0"/>
        </w:rPr>
        <w:t>El responsable de la asesoría debe informarle a los autores que la asesoría realizada por la UNISAR debe constar en el artículo enviado para su publicación en la sección de agradecimientos. Ver ejemplo https://journals.sagepub.com/doi/full/10.1177/0961203320957719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9" w:name="_heading=h.jt63ot8o345s" w:colFirst="0" w:colLast="0"/>
      <w:r>
        <w:rPr>
          <w:rFonts w:ascii="Arial" w:hAnsi="Arial" w:eastAsia="Arial" w:cs="Arial"/>
          <w:rtl w:val="0"/>
        </w:rPr>
        <w:t xml:space="preserve">mail contacto: </w:t>
      </w:r>
      <w:r>
        <w:fldChar w:fldCharType="begin"/>
      </w:r>
      <w:r>
        <w:instrText xml:space="preserve"> HYPERLINK "mailto:asesoriaunisar@reumatologia.org.ar" \h </w:instrText>
      </w:r>
      <w:r>
        <w:fldChar w:fldCharType="separate"/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t>asesoriaunisar@reumatologia.org.ar</w:t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fldChar w:fldCharType="end"/>
      </w:r>
    </w:p>
    <w:bookmarkEnd w:id="9"/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mail contacto para asesoría de estadística: </w:t>
      </w:r>
      <w:r>
        <w:fldChar w:fldCharType="begin"/>
      </w:r>
      <w:r>
        <w:instrText xml:space="preserve"> HYPERLINK "mailto:estadistica@reumatologia.org.ar" \h </w:instrText>
      </w:r>
      <w:r>
        <w:fldChar w:fldCharType="separate"/>
      </w:r>
      <w:r>
        <w:rPr>
          <w:rFonts w:ascii="Arial" w:hAnsi="Arial" w:eastAsia="Arial" w:cs="Arial"/>
          <w:color w:val="1155CC"/>
          <w:u w:val="single"/>
          <w:rtl w:val="0"/>
        </w:rPr>
        <w:t>estadistica</w:t>
      </w:r>
      <w:r>
        <w:rPr>
          <w:rFonts w:ascii="Arial" w:hAnsi="Arial" w:eastAsia="Arial" w:cs="Arial"/>
          <w:color w:val="1155CC"/>
          <w:u w:val="single"/>
          <w:rtl w:val="0"/>
        </w:rPr>
        <w:fldChar w:fldCharType="end"/>
      </w:r>
      <w:r>
        <w:fldChar w:fldCharType="begin"/>
      </w:r>
      <w:r>
        <w:instrText xml:space="preserve"> HYPERLINK "mailto:estadistica@reumatologia.org.ar" \h </w:instrText>
      </w:r>
      <w:r>
        <w:fldChar w:fldCharType="separate"/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t>@reumatologia.org.ar</w:t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fldChar w:fldCharType="end"/>
      </w:r>
    </w:p>
    <w:p>
      <w:pPr>
        <w:spacing w:line="360" w:lineRule="auto"/>
        <w:ind w:left="720" w:firstLine="0"/>
        <w:jc w:val="both"/>
        <w:rPr>
          <w:rFonts w:ascii="Roboto" w:hAnsi="Roboto" w:eastAsia="Roboto" w:cs="Roboto"/>
          <w:color w:val="5F6368"/>
          <w:sz w:val="21"/>
          <w:szCs w:val="21"/>
          <w:highlight w:val="white"/>
        </w:rPr>
      </w:pPr>
      <w:bookmarkStart w:id="10" w:name="_heading=h.p4mvr6j6q4e7" w:colFirst="0" w:colLast="0"/>
      <w:bookmarkEnd w:id="10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1" w:name="_heading=h.4lwqfpa0wmkb" w:colFirst="0" w:colLast="0"/>
      <w:bookmarkEnd w:id="11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2" w:name="_heading=h.hw039ydc2n2" w:colFirst="0" w:colLast="0"/>
      <w:bookmarkEnd w:id="12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3" w:name="_heading=h.1hs2g9n516ik" w:colFirst="0" w:colLast="0"/>
      <w:bookmarkEnd w:id="13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4" w:name="_heading=h.rxrra7d6lu60" w:colFirst="0" w:colLast="0"/>
      <w:bookmarkEnd w:id="14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5" w:name="_heading=h.8s8zyr26468f" w:colFirst="0" w:colLast="0"/>
      <w:bookmarkEnd w:id="15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6" w:name="_heading=h.9qdgc9r1qhn" w:colFirst="0" w:colLast="0"/>
      <w:bookmarkEnd w:id="16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7" w:name="_heading=h.bouk847re15q" w:colFirst="0" w:colLast="0"/>
      <w:bookmarkEnd w:id="17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8" w:name="_heading=h.jfo003ln7sw6" w:colFirst="0" w:colLast="0"/>
      <w:bookmarkEnd w:id="18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9" w:name="_heading=h.3f9h4jmuz5v8" w:colFirst="0" w:colLast="0"/>
      <w:bookmarkEnd w:id="19"/>
      <w:r>
        <w:rPr>
          <w:rFonts w:ascii="Arial" w:hAnsi="Arial" w:eastAsia="Arial" w:cs="Arial"/>
          <w:b/>
          <w:rtl w:val="0"/>
        </w:rPr>
        <w:t>FORMULARIO REQUERIDO PARA LA DEVOLUCIÓN DE UNA ASESORÍA DE ESTADÍSTICA POR PARTE DE LA UNISAR</w:t>
      </w:r>
    </w:p>
    <w:tbl>
      <w:tblPr>
        <w:tblStyle w:val="24"/>
        <w:tblW w:w="88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19"/>
        <w:gridCol w:w="44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TÍTULO DEL TRABAJO: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recepción de la asesoría por parte de UNISAR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devolución de la asesoría a los autores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AUTORES/FILIACIONES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95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TIPO DE ASESORÍA REQUERIDA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COMENTARIOS GENERALES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(Describir)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COMENTARIOS ESPECÍFICOS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(Describir)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REQUIERE DE FUTURA ASESORÍA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SI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NO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SE ADJUNTAN OTROS  DOCUMENTOS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SI; detallar (tablas, gráficos)</w:t>
            </w:r>
          </w:p>
          <w:p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NO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FINALIZACIÓN DE LA ASESORÍA (si corresponde)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</w:tbl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20" w:name="_heading=h.50rxvsz6xuvd" w:colFirst="0" w:colLast="0"/>
      <w:bookmarkEnd w:id="20"/>
    </w:p>
    <w:sectPr>
      <w:pgSz w:w="12240" w:h="15840"/>
      <w:pgMar w:top="1417" w:right="1701" w:bottom="1417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8557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uiPriority w:val="39"/>
    <w:pPr>
      <w:spacing w:after="100"/>
      <w:ind w:left="440"/>
    </w:pPr>
  </w:style>
  <w:style w:type="paragraph" w:styleId="9">
    <w:name w:val="toc 1"/>
    <w:basedOn w:val="1"/>
    <w:next w:val="1"/>
    <w:unhideWhenUsed/>
    <w:uiPriority w:val="39"/>
    <w:pPr>
      <w:spacing w:after="100"/>
    </w:pPr>
  </w:style>
  <w:style w:type="paragraph" w:styleId="10">
    <w:name w:val="toc 2"/>
    <w:basedOn w:val="1"/>
    <w:next w:val="1"/>
    <w:unhideWhenUsed/>
    <w:uiPriority w:val="39"/>
    <w:pPr>
      <w:spacing w:after="100"/>
      <w:ind w:left="22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1 Car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Título 2 Car"/>
    <w:basedOn w:val="1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Título 3 Car"/>
    <w:basedOn w:val="14"/>
    <w:link w:val="4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3">
    <w:name w:val="TOC Heading"/>
    <w:basedOn w:val="2"/>
    <w:next w:val="1"/>
    <w:unhideWhenUsed/>
    <w:qFormat/>
    <w:uiPriority w:val="39"/>
    <w:pPr>
      <w:outlineLvl w:val="9"/>
    </w:pPr>
    <w:rPr>
      <w:lang w:eastAsia="es-AR"/>
    </w:rPr>
  </w:style>
  <w:style w:type="table" w:customStyle="1" w:styleId="24">
    <w:name w:val="_Style 64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6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67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6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7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/nmFnRAdpWJaBW4Nq7n6Su8zw==">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  <cp:lastModifiedBy>Alejandro Brigante</cp:lastModifiedBy>
  <dcterms:modified xsi:type="dcterms:W3CDTF">2020-12-04T15:16:10Z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